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image/svg+xml" Extension="svg"/>
  <Default ContentType="application/vnd.openxmlformats-package.relationships+xml" Extension="rels"/>
  <Default ContentType="application/xml" Extension="xml"/>
  <Default ContentType="application/vnd.openxmlformats-officedocument.obfuscatedFont" Extension="odttf"/>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custom-properties+xml" PartName="/docProps/custom.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comments+xml" PartName="/word/comments.xml"/>
  <Override ContentType="application/vnd.openxmlformats-officedocument.wordprocessingml.fontTable+xml" PartName="/word/fontTable.xml"/>
</Types>
</file>

<file path=_rels/.rels><?xml version="1.0" encoding="UTF-8"?><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p14">
  <w:body>
    <w:p>
      <w:pPr>
        <w:pStyle w:val="RightAligned"/>
      </w:pPr>
      <w:r>
        <w:t xml:space="preserve">Додаток 4</w:t>
      </w:r>
      <w:r>
        <w:br/>
        <w:t xml:space="preserve">до Порядку проведення атестації</w:t>
      </w:r>
      <w:r>
        <w:br/>
        <w:t xml:space="preserve">працівників сфери охорони здоров'я</w:t>
      </w:r>
      <w:r>
        <w:br/>
        <w:t xml:space="preserve">здоров'я</w:t>
      </w:r>
      <w:r>
        <w:br/>
        <w:t xml:space="preserve">(підпункт 2 пункту 1 розділу ІІІ)</w:t>
      </w:r>
    </w:p>
    <w:p/>
    <w:p/>
    <w:p>
      <w:pPr>
        <w:pStyle w:val="CenterBold"/>
      </w:pPr>
      <w:r>
        <w:t xml:space="preserve">Особисте освітнє портфоліо з результатами проходження</w:t>
      </w:r>
    </w:p>
    <w:p>
      <w:pPr>
        <w:pStyle w:val="CenterBold"/>
      </w:pPr>
      <w:r>
        <w:t xml:space="preserve">безперервного професійного розвитку</w:t>
      </w:r>
    </w:p>
    <w:p>
      <w:pPr>
        <w:pStyle w:val="CenterDate"/>
      </w:pPr>
      <w:r>
        <w:t xml:space="preserve">за </w:t>
      </w:r>
      <w:r>
        <w:rPr>
          <w:b/>
          <w:bCs/>
          <w:i/>
          <w:iCs/>
          <w:u w:val="single"/>
        </w:rPr>
        <w:t xml:space="preserve">2025</w:t>
      </w:r>
      <w:r>
        <w:t xml:space="preserve"> рік</w:t>
      </w:r>
    </w:p>
    <w:p/>
    <w:p>
      <w:pPr>
        <w:pStyle w:val="BodyText"/>
      </w:pPr>
      <w:r>
        <w:t xml:space="preserve">Прізвище, ім'я, по батькові (за наявності)</w:t>
      </w:r>
    </w:p>
    <w:p>
      <w:pPr>
        <w:pStyle w:val="BodyText"/>
      </w:pPr>
      <w:r>
        <w:rPr>
          <w:b/>
          <w:bCs/>
          <w:i/>
          <w:iCs/>
          <w:u w:val="single"/>
        </w:rPr>
        <w:t xml:space="preserve">Федотова Інга</w:t>
      </w:r>
    </w:p>
    <w:p/>
    <w:p>
      <w:pPr>
        <w:pStyle w:val="BodyText"/>
      </w:pPr>
      <w:r>
        <w:t xml:space="preserve">Місце роботи (за наявності) (повна назва суб'єкта господарювання / прізвище, ім'я, по батькові (за наявності) фізичної особи – підприємця, код згідно з ЄДРПОУ (для юридичних осіб) або реєстраційний номер облікової картки платника податків (для фізичних осіб) або серію (за наявності) та номер паспорта (для фізичних осіб, які через свої релігійні переконання відмовляються від прийняття реєстраційного номера облікової картки платника податків та офіційно повідомили про це відповідному контролюючому органу і мають відмітку у паспорті) </w:t>
      </w:r>
      <w:r>
        <w:rPr>
          <w:b/>
          <w:bCs/>
          <w:i/>
          <w:iCs/>
          <w:u w:val="single"/>
        </w:rPr>
        <w:t xml:space="preserve">ДЕРЖАВНА УСТАНОВА "ІНСТИТУТ ПАТОЛОГІЇ ХРЕБТА ТА СУГЛОБІВ ІМЕНІ ПРОФЕСОРА М.І.СИТЕНКА НАЦІОНАЛЬНОЇ АКАДЕМІЇ МЕДИЧНИХ НАУК УКРАЇНИ", ДУ "ІНСТИТУТ ПАТОЛОГІЇ ХРЕБТА ТА СУГЛОБІВ ІМЕНІ ПРОФЕСОРА М.І.СИТЕНКА НАЦІОНАЛЬНОЇ АКАДЕМІЇ МЕДИЧНИХ НАУК УКРАЇНИ", ЄДРПОУ: 02012214</w:t>
      </w:r>
      <w:r>
        <w:t xml:space="preserve">, що провадить господарську діяльність з медичної практики / банків пуповинної крові, інших тканин і клітин людини згідно з переліком, затвердженим Міністерством охорони здоров'я України, або заготівлі та тестування донорської крові та компонентів крові незалежно від їх кінцевого призначення, переробки, зберігання, розподілу та реалізації донорської крові та компонентів крові, призначених для трансфузії, або діяльність з виробництва лікарських засобів, оптової та роздрібної торгівлі лікарськими засобами на підставі ліцензії від </w:t>
      </w:r>
      <w:r>
        <w:rPr>
          <w:b/>
          <w:bCs/>
          <w:i/>
          <w:iCs/>
        </w:rPr>
        <w:t xml:space="preserve">______</w:t>
      </w:r>
      <w:r>
        <w:t xml:space="preserve"> серія </w:t>
      </w:r>
      <w:r>
        <w:rPr>
          <w:b/>
          <w:bCs/>
          <w:i/>
          <w:iCs/>
        </w:rPr>
        <w:t xml:space="preserve">______</w:t>
      </w:r>
      <w:r>
        <w:t xml:space="preserve"> № </w:t>
      </w:r>
      <w:r>
        <w:rPr>
          <w:b/>
          <w:bCs/>
          <w:i/>
          <w:iCs/>
        </w:rPr>
        <w:t xml:space="preserve">______</w:t>
      </w:r>
      <w:r>
        <w:t xml:space="preserve"> (за наявності) / рішення про видачу ліцензії, затверджене наказом МОЗ від </w:t>
      </w:r>
      <w:r>
        <w:rPr>
          <w:b/>
          <w:bCs/>
          <w:i/>
          <w:iCs/>
          <w:u w:val="single"/>
        </w:rPr>
        <w:t xml:space="preserve">16.08.2012</w:t>
      </w:r>
      <w:r>
        <w:t xml:space="preserve"> № </w:t>
      </w:r>
      <w:r>
        <w:rPr>
          <w:b/>
          <w:bCs/>
          <w:i/>
          <w:iCs/>
          <w:u w:val="single"/>
        </w:rPr>
        <w:t xml:space="preserve">636</w:t>
      </w:r>
      <w:r>
        <w:t xml:space="preserve">, за спеціальностями (зазначаються всі спеціальності, за якими здійснюється господарська діяльність з урахуванням повідомлень про зміни, поданих до органу ліцензування): </w:t>
      </w:r>
      <w:r>
        <w:rPr>
          <w:b/>
          <w:bCs/>
          <w:i/>
          <w:iCs/>
          <w:u w:val="single"/>
        </w:rPr>
        <w:t xml:space="preserve">Лікувальна фізкультура і спортивна медицина, Фізична та реабілітаційна медицина, Епідеміологія, Медична психологія, мол. Сестринська справа, мол. Сестринська справа (операційна), Трансфузіологія, Дитяча анестезіологія, Ревматологія, Функціональна діагностика, Організація і управління охороною здоров'я, Ортопедія і травматологія, Анестезіологія, Педіатрія, Рентгенологія, Стоматологія, Онкологія, Клінічна лабораторна діагностика, Неврологія, Нейрохірургія, Терапія, Ультразвукова діагностика, Патологічна анатомія, Фізіотерапія, Лікувальна фізкультура, Трансплантологія, мол. Лабораторна справа (клініка), мол. Лабораторна справа (гігієна), мол. Рентгенологія, мол. Медична статистика, Дитяча ортопедія і травматологія</w:t>
      </w:r>
    </w:p>
    <w:p/>
    <w:p>
      <w:pPr>
        <w:pStyle w:val="BodyTextSpaced"/>
      </w:pPr>
      <w:r>
        <w:t xml:space="preserve">Займана посада: </w:t>
      </w:r>
      <w:r>
        <w:rPr>
          <w:b/>
          <w:bCs/>
          <w:i/>
          <w:iCs/>
          <w:u w:val="single"/>
        </w:rPr>
        <w:t xml:space="preserve">Лікар невролог </w:t>
      </w:r>
    </w:p>
    <w:p/>
    <w:p>
      <w:pPr>
        <w:pStyle w:val="BodyText"/>
      </w:pPr>
      <w:r>
        <w:t xml:space="preserve">Контактні дані (телефон, поштова адреса, адреса електронної пошти)</w:t>
      </w:r>
    </w:p>
    <w:p>
      <w:pPr>
        <w:pStyle w:val="BodyText"/>
      </w:pPr>
      <w:r>
        <w:rPr>
          <w:b/>
          <w:bCs/>
          <w:i/>
          <w:iCs/>
          <w:u w:val="single"/>
        </w:rPr>
        <w:t xml:space="preserve">Адреса електронної пошти: ibolokadze1971@ukr.net</w:t>
      </w:r>
    </w:p>
    <w:p>
      <w:pPr>
        <w:sectPr>
          <w:pgSz w:w="11906" w:h="16838" w:orient="portrait"/>
          <w:pgMar w:top="2cm" w:right="1.5cm" w:bottom="2cm" w:left="3cm" w:header="708" w:footer="708" w:gutter="0"/>
          <w:pgNumType/>
          <w:docGrid w:linePitch="360"/>
        </w:sectPr>
      </w:pPr>
    </w:p>
    <w:p>
      <w:r>
        <w:rPr>
          <w:rFonts w:ascii="Times New Roman" w:cs="Times New Roman" w:eastAsia="Times New Roman" w:hAnsi="Times New Roman"/>
          <w:b/>
          <w:bCs/>
          <w:sz w:val="24"/>
          <w:szCs w:val="24"/>
        </w:rPr>
        <w:t xml:space="preserve">I. Індивідуальні цілі професійного розвитку на рік</w:t>
      </w:r>
    </w:p>
    <w:p/>
    <w:tbl>
      <w:tblPr>
        <w:tblW w:type="dxa" w:w="9336"/>
        <w:tblBorders>
          <w:top w:val="single" w:color="auto" w:sz="4"/>
          <w:left w:val="single" w:color="auto" w:sz="4"/>
          <w:bottom w:val="single" w:color="auto" w:sz="4"/>
          <w:right w:val="single" w:color="auto" w:sz="4"/>
          <w:insideH w:val="single" w:color="auto" w:sz="4"/>
          <w:insideV w:val="single" w:color="auto" w:sz="4"/>
        </w:tblBorders>
        <w:tblLayout w:type="fixed"/>
      </w:tblPr>
      <w:tblGrid>
        <w:gridCol w:w="4954"/>
        <w:gridCol w:w="4382"/>
      </w:tblGrid>
      <w:tr>
        <w:tc>
          <w:tcPr>
            <w:tcW w:type="dxa" w:w="4954"/>
            <w:tcBorders>
              <w:top w:val="single" w:color="000000" w:sz="1"/>
              <w:left w:val="single" w:color="000000" w:sz="1"/>
              <w:bottom w:val="single" w:color="000000" w:sz="1"/>
              <w:right w:val="single" w:color="000000" w:sz="1"/>
            </w:tcBorders>
            <w:vAlign w:val="center"/>
          </w:tcPr>
          <w:p>
            <w:pPr>
              <w:jc w:val="center"/>
            </w:pPr>
            <w:r>
              <w:rPr>
                <w:rFonts w:ascii="Times New Roman" w:cs="Times New Roman" w:eastAsia="Times New Roman" w:hAnsi="Times New Roman"/>
                <w:b/>
                <w:bCs/>
                <w:sz w:val="24"/>
                <w:szCs w:val="24"/>
              </w:rPr>
              <w:t xml:space="preserve">Опис компетентності (знання, уміння / навички), яку планується здобути та/або вдосконалити</w:t>
            </w:r>
          </w:p>
        </w:tc>
        <w:tc>
          <w:tcPr>
            <w:tcW w:type="dxa" w:w="4382"/>
            <w:tcBorders>
              <w:top w:val="single" w:color="000000" w:sz="1"/>
              <w:left w:val="single" w:color="000000" w:sz="1"/>
              <w:bottom w:val="single" w:color="000000" w:sz="1"/>
              <w:right w:val="single" w:color="000000" w:sz="1"/>
            </w:tcBorders>
            <w:vAlign w:val="center"/>
          </w:tcPr>
          <w:p>
            <w:pPr>
              <w:jc w:val="center"/>
            </w:pPr>
            <w:r>
              <w:rPr>
                <w:rFonts w:ascii="Times New Roman" w:cs="Times New Roman" w:eastAsia="Times New Roman" w:hAnsi="Times New Roman"/>
                <w:b/>
                <w:bCs/>
                <w:sz w:val="24"/>
                <w:szCs w:val="24"/>
              </w:rPr>
              <w:t xml:space="preserve">Очікуваний результат (як планується застосовувати здобуту та/або вдосконалену компетентність)</w:t>
            </w:r>
          </w:p>
        </w:tc>
      </w:tr>
      <w:tr>
        <w:tc>
          <w:tcPr>
            <w:tcBorders>
              <w:top w:val="single" w:color="000000" w:sz="1"/>
              <w:left w:val="single" w:color="000000" w:sz="1"/>
              <w:bottom w:val="single" w:color="000000" w:sz="1"/>
              <w:right w:val="single" w:color="000000" w:sz="1"/>
            </w:tcBorders>
          </w:tcPr>
          <w:p>
            <w:r>
              <w:rPr>
                <w:rFonts w:ascii="Times New Roman" w:cs="Times New Roman" w:eastAsia="Times New Roman" w:hAnsi="Times New Roman"/>
                <w:sz w:val="24"/>
                <w:szCs w:val="24"/>
              </w:rPr>
              <w:t xml:space="preserve">Оптимізувати застосування сучасних клінічних протоколів у щоденній практиці з урахуванням посадових обов’язків.</w:t>
            </w:r>
          </w:p>
        </w:tc>
        <w:tc>
          <w:tcPr>
            <w:tcBorders>
              <w:top w:val="single" w:color="000000" w:sz="1"/>
              <w:left w:val="single" w:color="000000" w:sz="1"/>
              <w:bottom w:val="single" w:color="000000" w:sz="1"/>
              <w:right w:val="single" w:color="000000" w:sz="1"/>
            </w:tcBorders>
          </w:tcPr>
          <w:p>
            <w:r>
              <w:rPr>
                <w:rFonts w:ascii="Times New Roman" w:cs="Times New Roman" w:eastAsia="Times New Roman" w:hAnsi="Times New Roman"/>
                <w:sz w:val="24"/>
                <w:szCs w:val="24"/>
              </w:rPr>
              <w:t xml:space="preserve">Набуті компетентності планується інтегрувати в алгоритми прийняття рішень для підвищення якості надання послуг.</w:t>
            </w:r>
          </w:p>
        </w:tc>
      </w:tr>
    </w:tbl>
    <w:p/>
    <w:p>
      <w:r>
        <w:rPr>
          <w:rFonts w:ascii="Times New Roman" w:cs="Times New Roman" w:eastAsia="Times New Roman" w:hAnsi="Times New Roman"/>
          <w:b/>
          <w:bCs/>
          <w:sz w:val="24"/>
          <w:szCs w:val="24"/>
        </w:rPr>
        <w:t xml:space="preserve">Рекомендації за місцем роботи щодо розвитку професійних компетентностей</w:t>
      </w:r>
    </w:p>
    <w:p>
      <w:r>
        <w:rPr>
          <w:rFonts w:ascii="Times New Roman" w:cs="Times New Roman" w:eastAsia="Times New Roman" w:hAnsi="Times New Roman"/>
          <w:sz w:val="24"/>
          <w:szCs w:val="24"/>
        </w:rPr>
        <w:t xml:space="preserve">Сприяти участі у тематичних навчальних заходах із подальшим застосуванням набутих компетентностей у робочих процесах.</w:t>
      </w:r>
    </w:p>
    <w:p/>
    <w:p/>
    <w:p>
      <w:r>
        <w:rPr>
          <w:rFonts w:ascii="Times New Roman" w:cs="Times New Roman" w:eastAsia="Times New Roman" w:hAnsi="Times New Roman"/>
          <w:b/>
          <w:bCs/>
          <w:sz w:val="24"/>
          <w:szCs w:val="24"/>
        </w:rPr>
        <w:t xml:space="preserve">II. Інформація про види діяльності та здобуті компетентності (знання, уміння / навички)</w:t>
      </w:r>
    </w:p>
    <w:p/>
    <w:tbl>
      <w:tblPr>
        <w:tblW w:type="dxa" w:w="9378"/>
        <w:tblBorders>
          <w:top w:val="single" w:color="auto" w:sz="4"/>
          <w:left w:val="single" w:color="auto" w:sz="4"/>
          <w:bottom w:val="single" w:color="auto" w:sz="4"/>
          <w:right w:val="single" w:color="auto" w:sz="4"/>
          <w:insideH w:val="single" w:color="auto" w:sz="4"/>
          <w:insideV w:val="single" w:color="auto" w:sz="4"/>
        </w:tblBorders>
        <w:tblLayout w:type="fixed"/>
      </w:tblPr>
      <w:tblGrid>
        <w:gridCol w:w="549"/>
        <w:gridCol w:w="1768"/>
        <w:gridCol w:w="2862"/>
        <w:gridCol w:w="1564"/>
        <w:gridCol w:w="1366"/>
        <w:gridCol w:w="1269"/>
      </w:tblGrid>
      <w:tr>
        <w:tc>
          <w:tcPr>
            <w:tcW w:type="dxa" w:w="549"/>
            <w:tcBorders>
              <w:top w:val="single" w:color="000000" w:sz="1"/>
              <w:left w:val="single" w:color="000000" w:sz="1"/>
              <w:bottom w:val="single" w:color="000000" w:sz="1"/>
              <w:right w:val="single" w:color="000000" w:sz="1"/>
            </w:tcBorders>
            <w:vAlign w:val="center"/>
          </w:tcPr>
          <w:p>
            <w:pPr>
              <w:jc w:val="center"/>
            </w:pPr>
            <w:r>
              <w:rPr>
                <w:rFonts w:ascii="Times New Roman" w:cs="Times New Roman" w:eastAsia="Times New Roman" w:hAnsi="Times New Roman"/>
                <w:b/>
                <w:bCs/>
                <w:sz w:val="24"/>
                <w:szCs w:val="24"/>
              </w:rPr>
              <w:t xml:space="preserve">№ з/п</w:t>
            </w:r>
          </w:p>
        </w:tc>
        <w:tc>
          <w:tcPr>
            <w:tcW w:type="dxa" w:w="1768"/>
            <w:tcBorders>
              <w:top w:val="single" w:color="000000" w:sz="1"/>
              <w:left w:val="single" w:color="000000" w:sz="1"/>
              <w:bottom w:val="single" w:color="000000" w:sz="1"/>
              <w:right w:val="single" w:color="000000" w:sz="1"/>
            </w:tcBorders>
            <w:vAlign w:val="center"/>
          </w:tcPr>
          <w:p>
            <w:pPr>
              <w:jc w:val="center"/>
            </w:pPr>
            <w:r>
              <w:rPr>
                <w:rFonts w:ascii="Times New Roman" w:cs="Times New Roman" w:eastAsia="Times New Roman" w:hAnsi="Times New Roman"/>
                <w:b/>
                <w:bCs/>
                <w:sz w:val="24"/>
                <w:szCs w:val="24"/>
              </w:rPr>
              <w:t xml:space="preserve">Вид діяльності</w:t>
            </w:r>
          </w:p>
        </w:tc>
        <w:tc>
          <w:tcPr>
            <w:tcW w:type="dxa" w:w="2862"/>
            <w:tcBorders>
              <w:top w:val="single" w:color="000000" w:sz="1"/>
              <w:left w:val="single" w:color="000000" w:sz="1"/>
              <w:bottom w:val="single" w:color="000000" w:sz="1"/>
              <w:right w:val="single" w:color="000000" w:sz="1"/>
            </w:tcBorders>
            <w:vAlign w:val="center"/>
          </w:tcPr>
          <w:p>
            <w:pPr>
              <w:jc w:val="center"/>
            </w:pPr>
            <w:r>
              <w:rPr>
                <w:rFonts w:ascii="Times New Roman" w:cs="Times New Roman" w:eastAsia="Times New Roman" w:hAnsi="Times New Roman"/>
                <w:b/>
                <w:bCs/>
                <w:sz w:val="24"/>
                <w:szCs w:val="24"/>
              </w:rPr>
              <w:t xml:space="preserve">Здобуті та/або вдосконалені компетентності</w:t>
            </w:r>
          </w:p>
        </w:tc>
        <w:tc>
          <w:tcPr>
            <w:tcW w:type="dxa" w:w="1564"/>
            <w:tcBorders>
              <w:top w:val="single" w:color="000000" w:sz="1"/>
              <w:left w:val="single" w:color="000000" w:sz="1"/>
              <w:bottom w:val="single" w:color="000000" w:sz="1"/>
              <w:right w:val="single" w:color="000000" w:sz="1"/>
            </w:tcBorders>
            <w:vAlign w:val="center"/>
          </w:tcPr>
          <w:p>
            <w:pPr>
              <w:jc w:val="center"/>
            </w:pPr>
            <w:r>
              <w:rPr>
                <w:rFonts w:ascii="Times New Roman" w:cs="Times New Roman" w:eastAsia="Times New Roman" w:hAnsi="Times New Roman"/>
                <w:b/>
                <w:bCs/>
                <w:sz w:val="24"/>
                <w:szCs w:val="24"/>
              </w:rPr>
              <w:t xml:space="preserve">Місце проведення</w:t>
            </w:r>
          </w:p>
        </w:tc>
        <w:tc>
          <w:tcPr>
            <w:tcW w:type="dxa" w:w="1366"/>
            <w:tcBorders>
              <w:top w:val="single" w:color="000000" w:sz="1"/>
              <w:left w:val="single" w:color="000000" w:sz="1"/>
              <w:bottom w:val="single" w:color="000000" w:sz="1"/>
              <w:right w:val="single" w:color="000000" w:sz="1"/>
            </w:tcBorders>
            <w:vAlign w:val="center"/>
          </w:tcPr>
          <w:p>
            <w:pPr>
              <w:jc w:val="center"/>
            </w:pPr>
            <w:r>
              <w:rPr>
                <w:rFonts w:ascii="Times New Roman" w:cs="Times New Roman" w:eastAsia="Times New Roman" w:hAnsi="Times New Roman"/>
                <w:b/>
                <w:bCs/>
                <w:sz w:val="24"/>
                <w:szCs w:val="24"/>
              </w:rPr>
              <w:t xml:space="preserve">Дата / тривалість</w:t>
            </w:r>
          </w:p>
        </w:tc>
        <w:tc>
          <w:tcPr>
            <w:tcW w:type="dxa" w:w="1269"/>
            <w:tcBorders>
              <w:top w:val="single" w:color="000000" w:sz="1"/>
              <w:left w:val="single" w:color="000000" w:sz="1"/>
              <w:bottom w:val="single" w:color="000000" w:sz="1"/>
              <w:right w:val="single" w:color="000000" w:sz="1"/>
            </w:tcBorders>
            <w:vAlign w:val="center"/>
          </w:tcPr>
          <w:p>
            <w:pPr>
              <w:jc w:val="center"/>
            </w:pPr>
            <w:r>
              <w:rPr>
                <w:rFonts w:ascii="Times New Roman" w:cs="Times New Roman" w:eastAsia="Times New Roman" w:hAnsi="Times New Roman"/>
                <w:b/>
                <w:bCs/>
                <w:sz w:val="24"/>
                <w:szCs w:val="24"/>
              </w:rPr>
              <w:t xml:space="preserve">Кількість балів</w:t>
            </w:r>
          </w:p>
        </w:tc>
      </w:tr>
      <w:tr>
        <w:tc>
          <w:tcPr>
            <w:tcBorders>
              <w:top w:val="single" w:color="000000" w:sz="1"/>
              <w:left w:val="single" w:color="000000" w:sz="1"/>
              <w:bottom w:val="single" w:color="000000" w:sz="1"/>
              <w:right w:val="single" w:color="000000" w:sz="1"/>
            </w:tcBorders>
            <w:vAlign w:val="center"/>
          </w:tcPr>
          <w:p>
            <w:pPr>
              <w:jc w:val="center"/>
            </w:pPr>
            <w:r>
              <w:rPr>
                <w:rFonts w:ascii="Times New Roman" w:cs="Times New Roman" w:eastAsia="Times New Roman" w:hAnsi="Times New Roman"/>
                <w:sz w:val="24"/>
                <w:szCs w:val="24"/>
              </w:rPr>
              <w:t xml:space="preserve">1</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Конференція/конгрес/симпозіум (крім країн OECD) | AI mindset in entrepreneurial spaces</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У межах заходу поглиблено професійні знання і компетентності згідно з темою та офіційною програмою.</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Україна</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18.07.2025</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90</w:t>
            </w:r>
          </w:p>
        </w:tc>
      </w:tr>
      <w:tr>
        <w:tc>
          <w:tcPr>
            <w:tcBorders>
              <w:top w:val="single" w:color="000000" w:sz="1"/>
              <w:left w:val="single" w:color="000000" w:sz="1"/>
              <w:bottom w:val="single" w:color="000000" w:sz="1"/>
              <w:right w:val="single" w:color="000000" w:sz="1"/>
            </w:tcBorders>
            <w:vAlign w:val="center"/>
          </w:tcPr>
          <w:p>
            <w:pPr>
              <w:jc w:val="center"/>
            </w:pPr>
            <w:r>
              <w:rPr>
                <w:rFonts w:ascii="Times New Roman" w:cs="Times New Roman" w:eastAsia="Times New Roman" w:hAnsi="Times New Roman"/>
                <w:sz w:val="24"/>
                <w:szCs w:val="24"/>
              </w:rPr>
              <w:t xml:space="preserve">2</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Підвищення кваліфікації | доброчесність у сучасному освітньому та науковому середовищі</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За підсумками програми підвищення кваліфікації вдосконалено професійні компетентності.</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Україна</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14.02.2025</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25</w:t>
            </w:r>
          </w:p>
        </w:tc>
      </w:tr>
      <w:tr>
        <w:tc>
          <w:tcPr>
            <w:tcBorders>
              <w:top w:val="single" w:color="000000" w:sz="1"/>
              <w:left w:val="single" w:color="000000" w:sz="1"/>
              <w:bottom w:val="single" w:color="000000" w:sz="1"/>
              <w:right w:val="single" w:color="000000" w:sz="1"/>
            </w:tcBorders>
            <w:vAlign w:val="center"/>
          </w:tcPr>
          <w:p>
            <w:pPr>
              <w:jc w:val="center"/>
            </w:pPr>
            <w:r>
              <w:rPr>
                <w:rFonts w:ascii="Times New Roman" w:cs="Times New Roman" w:eastAsia="Times New Roman" w:hAnsi="Times New Roman"/>
                <w:sz w:val="24"/>
                <w:szCs w:val="24"/>
              </w:rPr>
              <w:t xml:space="preserve">3</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Конференція/конгрес/симпозіум (крім країн OECD) | ІІ Слобожанська конференція з анестезіології та інтенсивної терапії (СКАІТ-2)</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За результатами участі отримано та систематизовано знання з актуальних питань відповідно до тематики та програми заходу.</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Україна</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27.06.2025 (9 год)</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5</w:t>
            </w:r>
          </w:p>
        </w:tc>
      </w:tr>
      <w:tr>
        <w:tc>
          <w:tcPr>
            <w:tcBorders>
              <w:top w:val="single" w:color="000000" w:sz="1"/>
              <w:left w:val="single" w:color="000000" w:sz="1"/>
              <w:bottom w:val="single" w:color="000000" w:sz="1"/>
              <w:right w:val="single" w:color="000000" w:sz="1"/>
            </w:tcBorders>
            <w:vAlign w:val="center"/>
          </w:tcPr>
          <w:p>
            <w:pPr>
              <w:jc w:val="center"/>
            </w:pPr>
            <w:r>
              <w:rPr>
                <w:rFonts w:ascii="Times New Roman" w:cs="Times New Roman" w:eastAsia="Times New Roman" w:hAnsi="Times New Roman"/>
                <w:sz w:val="24"/>
                <w:szCs w:val="24"/>
              </w:rPr>
              <w:t xml:space="preserve">4</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Конференція/конгрес/симпозіум (крім країн OECD) | Переваги та недоліки накісткового позавогнещевого остеосинтезу при діафізарних переломах довгих кісток</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За результатами участі отримано та систематизовано знання з актуальних питань відповідно до тематики та програми заходу.</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Україна</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19.06.2025 (5 год)</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5</w:t>
            </w:r>
          </w:p>
        </w:tc>
      </w:tr>
      <w:tr>
        <w:tc>
          <w:tcPr>
            <w:tcBorders>
              <w:top w:val="single" w:color="000000" w:sz="1"/>
              <w:left w:val="single" w:color="000000" w:sz="1"/>
              <w:bottom w:val="single" w:color="000000" w:sz="1"/>
              <w:right w:val="single" w:color="000000" w:sz="1"/>
            </w:tcBorders>
            <w:vAlign w:val="center"/>
          </w:tcPr>
          <w:p>
            <w:pPr>
              <w:jc w:val="center"/>
            </w:pPr>
            <w:r>
              <w:rPr>
                <w:rFonts w:ascii="Times New Roman" w:cs="Times New Roman" w:eastAsia="Times New Roman" w:hAnsi="Times New Roman"/>
                <w:sz w:val="24"/>
                <w:szCs w:val="24"/>
              </w:rPr>
              <w:t xml:space="preserve">5</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Конференція/конгрес/симпозіум (крім країн OECD) | Дитяча ортопедія та травматологія в умовах військового часу</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За результатами участі отримано та систематизовано знання з актуальних питань відповідно до тематики та програми заходу.</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Україна</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20.02.2025 (5 год)</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5</w:t>
            </w:r>
          </w:p>
        </w:tc>
      </w:tr>
    </w:tbl>
    <w:p/>
    <w:p/>
    <w:p>
      <w:r>
        <w:rPr>
          <w:rFonts w:ascii="Times New Roman" w:cs="Times New Roman" w:eastAsia="Times New Roman" w:hAnsi="Times New Roman"/>
          <w:sz w:val="24"/>
          <w:szCs w:val="24"/>
        </w:rPr>
        <w:t xml:space="preserve">Додатки (оригінали документів, що підтверджують види діяльності та обліковані бали):</w:t>
      </w:r>
    </w:p>
    <w:p>
      <w:r>
        <w:rPr>
          <w:rFonts w:ascii="Times New Roman" w:cs="Times New Roman" w:eastAsia="Times New Roman" w:hAnsi="Times New Roman"/>
          <w:i/>
          <w:iCs/>
          <w:sz w:val="24"/>
          <w:szCs w:val="24"/>
        </w:rPr>
        <w:t xml:space="preserve">1. Сертифікат про участь в конференції</w:t>
      </w:r>
    </w:p>
    <w:p>
      <w:r>
        <w:rPr>
          <w:rFonts w:ascii="Times New Roman" w:cs="Times New Roman" w:eastAsia="Times New Roman" w:hAnsi="Times New Roman"/>
          <w:i/>
          <w:iCs/>
          <w:sz w:val="24"/>
          <w:szCs w:val="24"/>
        </w:rPr>
        <w:t xml:space="preserve">2. Сертифікат</w:t>
      </w:r>
    </w:p>
    <w:p>
      <w:r>
        <w:rPr>
          <w:rFonts w:ascii="Times New Roman" w:cs="Times New Roman" w:eastAsia="Times New Roman" w:hAnsi="Times New Roman"/>
          <w:i/>
          <w:iCs/>
          <w:sz w:val="24"/>
          <w:szCs w:val="24"/>
        </w:rPr>
        <w:t xml:space="preserve">3. Сертифікат про участь в конференції 2025-2029-1010665-900131</w:t>
      </w:r>
    </w:p>
    <w:p>
      <w:r>
        <w:rPr>
          <w:rFonts w:ascii="Times New Roman" w:cs="Times New Roman" w:eastAsia="Times New Roman" w:hAnsi="Times New Roman"/>
          <w:i/>
          <w:iCs/>
          <w:sz w:val="24"/>
          <w:szCs w:val="24"/>
        </w:rPr>
        <w:t xml:space="preserve">4. Сертифікат про участь в конференції 2025-2159-1010274-100104</w:t>
      </w:r>
    </w:p>
    <w:p>
      <w:r>
        <w:rPr>
          <w:rFonts w:ascii="Times New Roman" w:cs="Times New Roman" w:eastAsia="Times New Roman" w:hAnsi="Times New Roman"/>
          <w:i/>
          <w:iCs/>
          <w:sz w:val="24"/>
          <w:szCs w:val="24"/>
        </w:rPr>
        <w:t xml:space="preserve">5. Сертифікат про участь в конференції 2025-2159-1005568-100128</w:t>
      </w:r>
    </w:p>
    <w:p/>
    <w:p/>
    <w:tbl>
      <w:tblPr>
        <w:tblW w:type="dxa" w:w="9325"/>
        <w:tblBorders>
          <w:top w:val="none" w:sz="0"/>
          <w:left w:val="none" w:sz="0"/>
          <w:bottom w:val="none" w:sz="0"/>
          <w:right w:val="none" w:sz="0"/>
          <w:insideH w:val="none" w:sz="0"/>
          <w:insideV w:val="none" w:sz="0"/>
        </w:tblBorders>
        <w:tblLayout w:type="fixed"/>
      </w:tblPr>
      <w:tblGrid>
        <w:gridCol w:w="7103"/>
        <w:gridCol w:w="2222"/>
      </w:tblGrid>
      <w:tr>
        <w:tc>
          <w:tcPr>
            <w:tcW w:type="dxa" w:w="7103"/>
            <w:tcBorders>
              <w:top w:val="none" w:sz="0"/>
              <w:left w:val="none" w:sz="0"/>
              <w:bottom w:val="single" w:color="000000" w:sz="1"/>
              <w:right w:val="none" w:sz="0"/>
            </w:tcBorders>
            <w:vAlign w:val="center"/>
          </w:tcPr>
          <w:p>
            <w:pPr>
              <w:jc w:val="center"/>
            </w:pPr>
            <w:r>
              <w:rPr>
                <w:rFonts w:ascii="Times New Roman" w:cs="Times New Roman" w:eastAsia="Times New Roman" w:hAnsi="Times New Roman"/>
                <w:b/>
                <w:bCs/>
                <w:sz w:val="24"/>
                <w:szCs w:val="24"/>
              </w:rPr>
              <w:t xml:space="preserve">Федотова Інга</w:t>
            </w:r>
          </w:p>
        </w:tc>
        <w:tc>
          <w:tcPr>
            <w:tcW w:type="dxa" w:w="2222"/>
            <w:tcBorders>
              <w:top w:val="none" w:sz="0"/>
              <w:left w:val="none" w:sz="0"/>
              <w:bottom w:val="single" w:color="000000" w:sz="1"/>
              <w:right w:val="none" w:sz="0"/>
            </w:tcBorders>
            <w:vAlign w:val="center"/>
          </w:tcPr>
          <w:p>
            <w:pPr>
              <w:jc w:val="center"/>
            </w:pPr>
            <w:r>
              <w:rPr>
                <w:rFonts w:ascii="Times New Roman" w:cs="Times New Roman" w:eastAsia="Times New Roman" w:hAnsi="Times New Roman"/>
                <w:b/>
                <w:bCs/>
                <w:sz w:val="24"/>
                <w:szCs w:val="24"/>
              </w:rPr>
              <w:t xml:space="preserve">___________</w:t>
            </w:r>
          </w:p>
        </w:tc>
      </w:tr>
      <w:tr>
        <w:tc>
          <w:tcPr>
            <w:tcW w:type="dxa" w:w="7103"/>
            <w:tcBorders>
              <w:top w:val="none" w:sz="0"/>
              <w:left w:val="none" w:sz="0"/>
              <w:bottom w:val="none" w:sz="0"/>
              <w:right w:val="none" w:sz="0"/>
            </w:tcBorders>
            <w:vAlign w:val="center"/>
          </w:tcPr>
          <w:p>
            <w:pPr>
              <w:jc w:val="center"/>
            </w:pPr>
            <w:r>
              <w:rPr>
                <w:rFonts w:ascii="Times New Roman" w:cs="Times New Roman" w:eastAsia="Times New Roman" w:hAnsi="Times New Roman"/>
                <w:sz w:val="20"/>
                <w:szCs w:val="20"/>
              </w:rPr>
              <w:t xml:space="preserve">(прізвище, ім'я, по батькові (за наявності)) </w:t>
            </w:r>
          </w:p>
        </w:tc>
        <w:tc>
          <w:tcPr>
            <w:tcW w:type="dxa" w:w="2222"/>
            <w:tcBorders>
              <w:top w:val="none" w:sz="0"/>
              <w:left w:val="none" w:sz="0"/>
              <w:bottom w:val="none" w:sz="0"/>
              <w:right w:val="none" w:sz="0"/>
            </w:tcBorders>
            <w:vAlign w:val="center"/>
          </w:tcPr>
          <w:p>
            <w:pPr>
              <w:jc w:val="center"/>
            </w:pPr>
            <w:r>
              <w:rPr>
                <w:rFonts w:ascii="Times New Roman" w:cs="Times New Roman" w:eastAsia="Times New Roman" w:hAnsi="Times New Roman"/>
                <w:sz w:val="20"/>
                <w:szCs w:val="20"/>
              </w:rPr>
              <w:t xml:space="preserve">(підпис)</w:t>
            </w:r>
          </w:p>
        </w:tc>
      </w:tr>
    </w:tbl>
    <w:p/>
    <w:p/>
    <w:p>
      <w:r>
        <w:rPr>
          <w:rFonts w:ascii="Times New Roman" w:cs="Times New Roman" w:eastAsia="Times New Roman" w:hAnsi="Times New Roman"/>
          <w:sz w:val="24"/>
          <w:szCs w:val="24"/>
        </w:rPr>
        <w:t xml:space="preserve">Керівник суб'єкта господарювання / Фізична особа – підприємець</w:t>
      </w:r>
    </w:p>
    <w:p>
      <w:r>
        <w:rPr>
          <w:rFonts w:ascii="Times New Roman" w:cs="Times New Roman" w:eastAsia="Times New Roman" w:hAnsi="Times New Roman"/>
          <w:b/>
          <w:bCs/>
          <w:i/>
          <w:iCs/>
          <w:sz w:val="24"/>
          <w:szCs w:val="24"/>
          <w:u w:val="single"/>
        </w:rPr>
        <w:t xml:space="preserve">Бондаренко Станіслав Євгенович</w:t>
      </w:r>
    </w:p>
    <w:p>
      <w:r>
        <w:rPr>
          <w:rFonts w:ascii="Times New Roman" w:cs="Times New Roman" w:eastAsia="Times New Roman" w:hAnsi="Times New Roman"/>
          <w:sz w:val="20"/>
          <w:szCs w:val="20"/>
        </w:rPr>
        <w:t xml:space="preserve">(прізвище, ім'я, по батькові (за наявності))</w:t>
      </w:r>
    </w:p>
    <w:p/>
    <w:p>
      <w:r>
        <w:rPr>
          <w:rFonts w:ascii="Times New Roman" w:cs="Times New Roman" w:eastAsia="Times New Roman" w:hAnsi="Times New Roman"/>
          <w:sz w:val="24"/>
          <w:szCs w:val="24"/>
        </w:rPr>
        <w:t xml:space="preserve">Кваліфікований електронний підпис керівника суб'єкта господарювання /</w:t>
      </w:r>
    </w:p>
    <w:p>
      <w:r>
        <w:rPr>
          <w:rFonts w:ascii="Times New Roman" w:cs="Times New Roman" w:eastAsia="Times New Roman" w:hAnsi="Times New Roman"/>
          <w:sz w:val="24"/>
          <w:szCs w:val="24"/>
        </w:rPr>
        <w:t xml:space="preserve">фізичної особи – підприємця</w:t>
      </w:r>
    </w:p>
    <w:sectPr>
      <w:pgSz w:w="11906" w:h="16838" w:orient="portrait"/>
      <w:pgMar w:top="2cm" w:right="1.5cm" w:bottom="2cm" w:left="3cm" w:header="708" w:footer="708" w:gutter="0"/>
      <w:pgNumType/>
      <w:docGrid w:linePitch="360"/>
    </w:sectPr>
  </w:body>
</w:document>
</file>

<file path=word/comments.xml><?xml version="1.0" encoding="utf-8"?>
<w:comment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separator/>
      </w:r>
    </w:p>
  </w:footnote>
  <w:footnote w:type="continuationSeparator" w:id="0">
    <w:p>
      <w:pPr>
        <w:spacing w:after="0" w:line="240" w:lineRule="auto"/>
      </w:pPr>
      <w:r>
        <w:rPr>
          <w:rStyle w:val="FootnoteReference"/>
        </w:rPr>
        <w:footnoteRef/>
      </w: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1" w15:restartNumberingAfterBreak="0">
    <w:multiLevelType w:val="hybridMultilevel"/>
    <w:lvl w:ilvl="0" w15:tentative="1">
      <w:start w:val="1"/>
      <w:numFmt w:val="bullet"/>
      <w:lvlText w:val="●"/>
      <w:lvlJc w:val="left"/>
      <w:pPr>
        <w:ind w:left="720" w:hanging="360"/>
      </w:pPr>
    </w:lvl>
    <w:lvl w:ilvl="1" w15:tentative="1">
      <w:start w:val="1"/>
      <w:numFmt w:val="bullet"/>
      <w:lvlText w:val="○"/>
      <w:lvlJc w:val="left"/>
      <w:pPr>
        <w:ind w:left="1440" w:hanging="360"/>
      </w:pPr>
    </w:lvl>
    <w:lvl w:ilvl="2" w15:tentative="1">
      <w:start w:val="1"/>
      <w:numFmt w:val="bullet"/>
      <w:lvlText w:val="■"/>
      <w:lvlJc w:val="left"/>
      <w:pPr>
        <w:ind w:left="2160" w:hanging="360"/>
      </w:pPr>
    </w:lvl>
    <w:lvl w:ilvl="3" w15:tentative="1">
      <w:start w:val="1"/>
      <w:numFmt w:val="bullet"/>
      <w:lvlText w:val="●"/>
      <w:lvlJc w:val="left"/>
      <w:pPr>
        <w:ind w:left="2880" w:hanging="360"/>
      </w:pPr>
    </w:lvl>
    <w:lvl w:ilvl="4" w15:tentative="1">
      <w:start w:val="1"/>
      <w:numFmt w:val="bullet"/>
      <w:lvlText w:val="○"/>
      <w:lvlJc w:val="left"/>
      <w:pPr>
        <w:ind w:left="3600" w:hanging="360"/>
      </w:pPr>
    </w:lvl>
    <w:lvl w:ilvl="5" w15:tentative="1">
      <w:start w:val="1"/>
      <w:numFmt w:val="bullet"/>
      <w:lvlText w:val="■"/>
      <w:lvlJc w:val="left"/>
      <w:pPr>
        <w:ind w:left="4320" w:hanging="360"/>
      </w:pPr>
    </w:lvl>
    <w:lvl w:ilvl="6" w15:tentative="1">
      <w:start w:val="1"/>
      <w:numFmt w:val="bullet"/>
      <w:lvlText w:val="●"/>
      <w:lvlJc w:val="left"/>
      <w:pPr>
        <w:ind w:left="5040" w:hanging="360"/>
      </w:pPr>
    </w:lvl>
    <w:lvl w:ilvl="7" w15:tentative="1">
      <w:start w:val="1"/>
      <w:numFmt w:val="bullet"/>
      <w:lvlText w:val="●"/>
      <w:lvlJc w:val="left"/>
      <w:pPr>
        <w:ind w:left="5760" w:hanging="360"/>
      </w:pPr>
    </w:lvl>
    <w:lvl w:ilvl="8" w15:tentative="1">
      <w:start w:val="1"/>
      <w:numFmt w:val="bullet"/>
      <w:lvlText w:val="●"/>
      <w:lvlJc w:val="left"/>
      <w:pPr>
        <w:ind w:left="6480" w:hanging="360"/>
      </w:pPr>
    </w:lvl>
  </w:abstractNum>
  <w:num w:numId="1">
    <w:abstractNumId w:val="1"/>
    <w:lvlOverride w:ilvl="0">
      <w:startOverride w:val="1"/>
    </w:lvlOverride>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isplayBackgroundShape/>
  <w:evenAndOddHeaders w:val="false"/>
  <w:compat>
    <w:compatSetting w:val="15" w:uri="http://schemas.microsoft.com/office/word" w:name="compatibilityMode"/>
  </w:compat>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pPrDefault/>
  </w:docDefaults>
  <w:style w:type="paragraph" w:styleId="Title">
    <w:name w:val="Title"/>
    <w:basedOn w:val="Normal"/>
    <w:next w:val="Normal"/>
    <w:qFormat/>
    <w:rPr>
      <w:sz w:val="56"/>
      <w:szCs w:val="56"/>
    </w:rPr>
  </w:style>
  <w:style w:type="paragraph" w:styleId="Heading1">
    <w:name w:val="Heading 1"/>
    <w:basedOn w:val="Normal"/>
    <w:next w:val="Normal"/>
    <w:qFormat/>
    <w:rPr>
      <w:color w:val="2E74B5"/>
      <w:sz w:val="32"/>
      <w:szCs w:val="32"/>
    </w:rPr>
  </w:style>
  <w:style w:type="paragraph" w:styleId="Heading2">
    <w:name w:val="Heading 2"/>
    <w:basedOn w:val="Normal"/>
    <w:next w:val="Normal"/>
    <w:qFormat/>
    <w:rPr>
      <w:color w:val="2E74B5"/>
      <w:sz w:val="26"/>
      <w:szCs w:val="26"/>
    </w:rPr>
  </w:style>
  <w:style w:type="paragraph" w:styleId="Heading3">
    <w:name w:val="Heading 3"/>
    <w:basedOn w:val="Normal"/>
    <w:next w:val="Normal"/>
    <w:qFormat/>
    <w:rPr>
      <w:color w:val="1F4D78"/>
      <w:sz w:val="24"/>
      <w:szCs w:val="24"/>
    </w:rPr>
  </w:style>
  <w:style w:type="paragraph" w:styleId="Heading4">
    <w:name w:val="Heading 4"/>
    <w:basedOn w:val="Normal"/>
    <w:next w:val="Normal"/>
    <w:qFormat/>
    <w:rPr>
      <w:i/>
      <w:iCs/>
      <w:color w:val="2E74B5"/>
    </w:rPr>
  </w:style>
  <w:style w:type="paragraph" w:styleId="Heading5">
    <w:name w:val="Heading 5"/>
    <w:basedOn w:val="Normal"/>
    <w:next w:val="Normal"/>
    <w:qFormat/>
    <w:rPr>
      <w:color w:val="2E74B5"/>
    </w:rPr>
  </w:style>
  <w:style w:type="paragraph" w:styleId="Heading6">
    <w:name w:val="Heading 6"/>
    <w:basedOn w:val="Normal"/>
    <w:next w:val="Normal"/>
    <w:qFormat/>
    <w:rPr>
      <w:color w:val="1F4D78"/>
    </w:rPr>
  </w:style>
  <w:style w:type="paragraph" w:styleId="Strong">
    <w:name w:val="Strong"/>
    <w:basedOn w:val="Normal"/>
    <w:next w:val="Normal"/>
    <w:qFormat/>
    <w:rPr>
      <w:b/>
      <w:bCs/>
    </w:rPr>
  </w:style>
  <w:style w:type="paragraph" w:styleId="ListParagraph">
    <w:name w:val="List Paragraph"/>
    <w:basedOn w:val="Normal"/>
    <w:qFormat/>
  </w:style>
  <w:style w:type="character" w:styleId="Hyperlink">
    <w:name w:val="Hyperlink"/>
    <w:basedOn w:val="DefaultParagraphFont"/>
    <w:uiPriority w:val="99"/>
    <w:unhideWhenUsed/>
    <w:rPr>
      <w:color w:val="0563C1"/>
      <w:u w:val="single"/>
    </w:rPr>
  </w:style>
  <w:style w:type="character" w:styleId="FootnoteReference">
    <w:name w:val="footnote reference"/>
    <w:basedOn w:val="DefaultParagraphFont"/>
    <w:uiPriority w:val="99"/>
    <w:semiHidden/>
    <w:unhideWhenUsed/>
    <w:rPr>
      <w:vertAlign w:val="superscript"/>
    </w:rPr>
  </w:style>
  <w:style w:type="paragraph" w:styleId="FootnoteText">
    <w:name w:val="footnote text"/>
    <w:basedOn w:val="Normal"/>
    <w:link w:val="FootnoteTextChar"/>
    <w:uiPriority w:val="99"/>
    <w:semiHidden/>
    <w:unhideWhenUsed/>
    <w:pPr>
      <w:spacing w:after="0" w:line="240" w:lineRule="auto"/>
    </w:pPr>
    <w:rPr>
      <w:sz w:val="20"/>
      <w:szCs w:val="20"/>
    </w:rPr>
  </w:style>
  <w:style w:type="character" w:styleId="FootnoteTextChar">
    <w:name w:val="Footnote Text Char"/>
    <w:basedOn w:val="DefaultParagraphFont"/>
    <w:link w:val="FootnoteText"/>
    <w:uiPriority w:val="99"/>
    <w:semiHidden/>
    <w:unhideWhenUsed/>
    <w:rPr>
      <w:sz w:val="20"/>
      <w:szCs w:val="20"/>
    </w:rPr>
  </w:style>
  <w:style w:type="paragraph" w:styleId="Normal">
    <w:name w:val="Normal"/>
    <w:basedOn w:val="Normal"/>
    <w:next w:val="Normal"/>
    <w:rPr>
      <w:rFonts w:ascii="Times New Roman" w:cs="Times New Roman" w:eastAsia="Times New Roman" w:hAnsi="Times New Roman"/>
      <w:sz w:val="24"/>
      <w:szCs w:val="24"/>
    </w:rPr>
  </w:style>
  <w:style w:type="paragraph" w:styleId="RightAligned">
    <w:name w:val="Right Aligned Text"/>
    <w:basedOn w:val="Normal"/>
    <w:pPr>
      <w:spacing w:line="240"/>
      <w:ind w:left="10cm"/>
      <w:jc w:val="left"/>
    </w:pPr>
    <w:rPr>
      <w:rFonts w:ascii="Times New Roman" w:cs="Times New Roman" w:eastAsia="Times New Roman" w:hAnsi="Times New Roman"/>
      <w:sz w:val="24"/>
      <w:szCs w:val="24"/>
    </w:rPr>
  </w:style>
  <w:style w:type="paragraph" w:styleId="CenterBold">
    <w:name w:val="Center Bold"/>
    <w:basedOn w:val="Normal"/>
    <w:pPr>
      <w:spacing w:after="0" w:line="240"/>
      <w:jc w:val="center"/>
    </w:pPr>
    <w:rPr>
      <w:rFonts w:ascii="Times New Roman" w:cs="Times New Roman" w:eastAsia="Times New Roman" w:hAnsi="Times New Roman"/>
      <w:b/>
      <w:bCs/>
      <w:sz w:val="28"/>
      <w:szCs w:val="28"/>
    </w:rPr>
  </w:style>
  <w:style w:type="paragraph" w:styleId="CenterDate">
    <w:name w:val="Center Date"/>
    <w:basedOn w:val="Normal"/>
    <w:pPr>
      <w:spacing w:before="120" w:after="0" w:line="240"/>
      <w:jc w:val="center"/>
    </w:pPr>
    <w:rPr>
      <w:rFonts w:ascii="Times New Roman" w:cs="Times New Roman" w:eastAsia="Times New Roman" w:hAnsi="Times New Roman"/>
      <w:b/>
      <w:bCs/>
      <w:sz w:val="28"/>
      <w:szCs w:val="28"/>
    </w:rPr>
  </w:style>
  <w:style w:type="paragraph" w:styleId="BodyText">
    <w:name w:val="Body Text"/>
    <w:basedOn w:val="Normal"/>
    <w:pPr>
      <w:spacing w:after="0" w:line="240"/>
      <w:jc w:val="both"/>
    </w:pPr>
    <w:rPr>
      <w:rFonts w:ascii="Times New Roman" w:cs="Times New Roman" w:eastAsia="Times New Roman" w:hAnsi="Times New Roman"/>
      <w:sz w:val="24"/>
      <w:szCs w:val="24"/>
    </w:rPr>
  </w:style>
</w:styles>
</file>

<file path=word/_rels/comments.xml.rels><?xml version="1.0" encoding="UTF-8"?><Relationships xmlns="http://schemas.openxmlformats.org/package/2006/relationships"/>
</file>

<file path=word/_rels/document.xml.rels><?xml version="1.0" encoding="UTF-8"?><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otnotes" Target="footnotes.xml"/><Relationship Id="rId4" Type="http://schemas.openxmlformats.org/officeDocument/2006/relationships/settings" Target="settings.xml"/><Relationship Id="rId5" Type="http://schemas.openxmlformats.org/officeDocument/2006/relationships/comments" Target="comments.xml"/><Relationship Id="rId6" Type="http://schemas.openxmlformats.org/officeDocument/2006/relationships/fontTable" Target="fontTable.xml"/></Relationships>
</file>

<file path=word/_rels/fontTable.xml.rels><?xml version="1.0" encoding="UTF-8"?><Relationships xmlns="http://schemas.openxmlformats.org/package/2006/relationships"/>
</file>

<file path=word/_rels/footnotes.xml.rels><?xml version="1.0" encoding="UTF-8"?><Relationships xmlns="http://schemas.openxmlformats.org/package/2006/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Un-named</cp:lastModifiedBy>
  <cp:revision>1</cp:revision>
  <dcterms:created xsi:type="dcterms:W3CDTF">2026-03-12T14:01:15.825Z</dcterms:created>
  <dcterms:modified xsi:type="dcterms:W3CDTF">2026-03-12T14:01:15.825Z</dcterms:modified>
</cp:coreProperties>
</file>

<file path=docProps/custom.xml><?xml version="1.0" encoding="utf-8"?>
<Properties xmlns="http://schemas.openxmlformats.org/officeDocument/2006/custom-properties" xmlns:vt="http://schemas.openxmlformats.org/officeDocument/2006/docPropsVTypes"/>
</file>